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481263" cy="458212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263" cy="4582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ind w:left="270" w:firstLine="0"/>
              <w:rPr>
                <w:rFonts w:ascii="Montserrat" w:cs="Montserrat" w:eastAsia="Montserrat" w:hAnsi="Montserrat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52"/>
                <w:szCs w:val="52"/>
                <w:rtl w:val="0"/>
              </w:rPr>
              <w:t xml:space="preserve">Summary Report on Compliance</w:t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5"/>
        <w:gridCol w:w="2175"/>
        <w:gridCol w:w="284"/>
        <w:gridCol w:w="2190"/>
        <w:gridCol w:w="2430"/>
        <w:tblGridChange w:id="0">
          <w:tblGrid>
            <w:gridCol w:w="1935"/>
            <w:gridCol w:w="2175"/>
            <w:gridCol w:w="284"/>
            <w:gridCol w:w="2190"/>
            <w:gridCol w:w="243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Entity Name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CCSS Level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System Name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CCSS Version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Date of Report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gridCol w:w="284"/>
        <w:gridCol w:w="4626"/>
        <w:tblGridChange w:id="0">
          <w:tblGrid>
            <w:gridCol w:w="4106"/>
            <w:gridCol w:w="284"/>
            <w:gridCol w:w="46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Description of Business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Description of Environment </w:t>
            </w:r>
          </w:p>
        </w:tc>
      </w:tr>
      <w:tr>
        <w:trPr>
          <w:cantSplit w:val="0"/>
          <w:trHeight w:val="978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Montserrat Medium" w:cs="Montserrat Medium" w:eastAsia="Montserrat Medium" w:hAnsi="Montserrat Medium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18"/>
                <w:szCs w:val="18"/>
                <w:rtl w:val="0"/>
              </w:rPr>
              <w:t xml:space="preserve">What cryptocurrency products and/or services does your business provide?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Montserrat Medium" w:cs="Montserrat Medium" w:eastAsia="Montserrat Medium" w:hAnsi="Montserrat Medium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sz w:val="18"/>
                <w:szCs w:val="18"/>
                <w:rtl w:val="0"/>
              </w:rPr>
              <w:t xml:space="preserve">Provide a high-level overview of the people, process and technology that was reviewed for this audit.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Montserrat Medium" w:cs="Montserrat Medium" w:eastAsia="Montserrat Medium" w:hAnsi="Montserrat Medium"/>
          <w:sz w:val="40"/>
          <w:szCs w:val="40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40"/>
          <w:szCs w:val="40"/>
          <w:rtl w:val="0"/>
        </w:rPr>
        <w:t xml:space="preserve">CCSS Aspect Compliance Status</w:t>
      </w:r>
    </w:p>
    <w:p w:rsidR="00000000" w:rsidDel="00000000" w:rsidP="00000000" w:rsidRDefault="00000000" w:rsidRPr="00000000" w14:paraId="0000001C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40"/>
        <w:gridCol w:w="1860"/>
        <w:gridCol w:w="2254"/>
        <w:gridCol w:w="2254"/>
        <w:tblGridChange w:id="0">
          <w:tblGrid>
            <w:gridCol w:w="2640"/>
            <w:gridCol w:w="1860"/>
            <w:gridCol w:w="2254"/>
            <w:gridCol w:w="2254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Aspect</w:t>
            </w:r>
          </w:p>
        </w:tc>
        <w:tc>
          <w:tcPr>
            <w:shd w:fill="bfbfbf" w:val="clear"/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CCSS Level 1</w:t>
            </w:r>
          </w:p>
        </w:tc>
        <w:tc>
          <w:tcPr>
            <w:shd w:fill="bfbfbf" w:val="clear"/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CCSS Level 2</w:t>
            </w:r>
          </w:p>
        </w:tc>
        <w:tc>
          <w:tcPr>
            <w:shd w:fill="bfbfbf" w:val="clear"/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CCSS Level 3</w:t>
            </w:r>
          </w:p>
        </w:tc>
      </w:tr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Key Generation Material</w:t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Montserrat" w:cs="Montserrat" w:eastAsia="Montserrat" w:hAnsi="Montserra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Wallet Generation</w:t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Key Material Storage</w:t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Key Material Access</w:t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Key Material Usage</w:t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Data Sanitization Documentation</w:t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Security Tests/Audits</w:t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Log and Monitor</w:t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Governance and Risk</w:t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Key Compromise Documentation</w:t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2895"/>
        <w:gridCol w:w="3750"/>
        <w:tblGridChange w:id="0">
          <w:tblGrid>
            <w:gridCol w:w="2355"/>
            <w:gridCol w:w="2895"/>
            <w:gridCol w:w="37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CCSSA who undertook Audit: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CCSSA ID: </w:t>
            </w:r>
          </w:p>
        </w:tc>
      </w:tr>
      <w:tr>
        <w:trPr>
          <w:cantSplit w:val="0"/>
          <w:trHeight w:val="397.56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CCSSA-PR: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CCSSA ID:</w:t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3474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90CF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5Nq6ShKWOiiinIMJZbY6S0PNFw==">CgMxLjA4AHIhMVc4NjVidDg0RkYzMUF1OGVRblBZY1llY3pSUXJzNjR5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2022-06-14T23:40:00Z</dcterms:created>
  <dc:creator>Marc Krisjanous</dc:creator>
</cp:coreProperties>
</file>